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40E9" w14:textId="77777777" w:rsidR="00931680" w:rsidRPr="00F4044F" w:rsidRDefault="00931680" w:rsidP="00C53340">
      <w:pPr>
        <w:pStyle w:val="SemEspaamento"/>
        <w:rPr>
          <w:b/>
        </w:rPr>
      </w:pPr>
      <w:r w:rsidRPr="00F4044F">
        <w:rPr>
          <w:b/>
          <w:sz w:val="24"/>
        </w:rPr>
        <w:t>Do Bem de Família</w:t>
      </w:r>
      <w:r w:rsidR="007C6D5C" w:rsidRPr="00F4044F">
        <w:rPr>
          <w:b/>
          <w:sz w:val="24"/>
        </w:rPr>
        <w:t xml:space="preserve"> – Disposições do Código Civil Brasileiro</w:t>
      </w:r>
    </w:p>
    <w:p w14:paraId="630CEF80" w14:textId="77777777" w:rsidR="007C6D5C" w:rsidRPr="007C6D5C" w:rsidRDefault="007C6D5C"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0" w:name="art1711"/>
      <w:bookmarkEnd w:id="0"/>
      <w:r>
        <w:rPr>
          <w:rFonts w:ascii="Arial" w:hAnsi="Arial" w:cs="Arial"/>
          <w:color w:val="000000"/>
          <w:sz w:val="20"/>
        </w:rPr>
        <w:t>“</w:t>
      </w:r>
      <w:r w:rsidR="00931680" w:rsidRPr="007C6D5C">
        <w:rPr>
          <w:rFonts w:ascii="Arial" w:hAnsi="Arial" w:cs="Arial"/>
          <w:color w:val="000000"/>
          <w:sz w:val="20"/>
        </w:rPr>
        <w:t>Art. 1.711. Podem os cônjuges, ou a entidade familiar, mediante escritura pública ou testamento, destinar parte de seu patrimônio para instituir bem de família, desde que não ultrapasse um terço do patrimônio líquido existente ao tempo da instituição, mantidas as regras sobre a impenhorabilidade do imóvel residencial estabelecida em lei especial.</w:t>
      </w:r>
      <w:bookmarkStart w:id="1" w:name="art1711p"/>
      <w:bookmarkEnd w:id="1"/>
      <w:r w:rsidRPr="007C6D5C">
        <w:rPr>
          <w:rFonts w:ascii="Arial" w:hAnsi="Arial" w:cs="Arial"/>
          <w:color w:val="000000"/>
          <w:sz w:val="20"/>
        </w:rPr>
        <w:t xml:space="preserve"> </w:t>
      </w:r>
      <w:r w:rsidR="00931680" w:rsidRPr="007C6D5C">
        <w:rPr>
          <w:rFonts w:ascii="Arial" w:hAnsi="Arial" w:cs="Arial"/>
          <w:color w:val="000000"/>
          <w:sz w:val="20"/>
        </w:rPr>
        <w:t>Parágrafo único. O terceiro poderá igualmente instituir bem de família por testamento ou doação, dependendo a eficácia do ato da aceitação expressa de ambos os cônjuges beneficiados ou da entidade familiar beneficiada.</w:t>
      </w:r>
      <w:bookmarkStart w:id="2" w:name="art1712"/>
      <w:bookmarkEnd w:id="2"/>
    </w:p>
    <w:p w14:paraId="024CFEEF"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r w:rsidRPr="007C6D5C">
        <w:rPr>
          <w:rFonts w:ascii="Arial" w:hAnsi="Arial" w:cs="Arial"/>
          <w:color w:val="000000"/>
          <w:sz w:val="20"/>
        </w:rPr>
        <w:t>Art. 1.712. O bem de família consistirá em prédio residencial urbano ou rural, com suas pertenças e acessórios, destinando-se em ambos os casos a domicílio familiar, e poderá abranger valores mobiliários, cuja renda será aplicada na conservação do imóvel e no sustento da família.</w:t>
      </w:r>
    </w:p>
    <w:p w14:paraId="5EDCCCD9"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3" w:name="art1713"/>
      <w:bookmarkEnd w:id="3"/>
      <w:r w:rsidRPr="007C6D5C">
        <w:rPr>
          <w:rFonts w:ascii="Arial" w:hAnsi="Arial" w:cs="Arial"/>
          <w:color w:val="000000"/>
          <w:sz w:val="20"/>
        </w:rPr>
        <w:t>Art. 1.713. Os valores mobiliários, destinados aos fins previstos no artigo antecedente, não poderão exceder o valor do prédio instituído em bem de família, à época de sua instituição.</w:t>
      </w:r>
    </w:p>
    <w:p w14:paraId="57AB7940"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4" w:name="art1713§1"/>
      <w:bookmarkEnd w:id="4"/>
      <w:r w:rsidRPr="007C6D5C">
        <w:rPr>
          <w:rFonts w:ascii="Arial" w:hAnsi="Arial" w:cs="Arial"/>
          <w:color w:val="000000"/>
          <w:sz w:val="20"/>
        </w:rPr>
        <w:t>§ 1</w:t>
      </w:r>
      <w:r w:rsidRPr="007C6D5C">
        <w:rPr>
          <w:rFonts w:ascii="Arial" w:hAnsi="Arial" w:cs="Arial"/>
          <w:color w:val="000000"/>
          <w:sz w:val="20"/>
          <w:u w:val="single"/>
          <w:vertAlign w:val="superscript"/>
        </w:rPr>
        <w:t>o</w:t>
      </w:r>
      <w:r w:rsidRPr="007C6D5C">
        <w:rPr>
          <w:rStyle w:val="apple-converted-space"/>
          <w:rFonts w:ascii="Arial" w:hAnsi="Arial" w:cs="Arial"/>
          <w:color w:val="000000"/>
          <w:sz w:val="20"/>
        </w:rPr>
        <w:t> </w:t>
      </w:r>
      <w:r w:rsidRPr="007C6D5C">
        <w:rPr>
          <w:rFonts w:ascii="Arial" w:hAnsi="Arial" w:cs="Arial"/>
          <w:color w:val="000000"/>
          <w:sz w:val="20"/>
        </w:rPr>
        <w:t>Deverão os valores mobiliários ser devidamente individualizados no instrumento de instituição do bem de família.</w:t>
      </w:r>
    </w:p>
    <w:p w14:paraId="6857639D"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5" w:name="art1713§2"/>
      <w:bookmarkEnd w:id="5"/>
      <w:r w:rsidRPr="007C6D5C">
        <w:rPr>
          <w:rFonts w:ascii="Arial" w:hAnsi="Arial" w:cs="Arial"/>
          <w:color w:val="000000"/>
          <w:sz w:val="20"/>
        </w:rPr>
        <w:t>§ 2</w:t>
      </w:r>
      <w:r w:rsidRPr="007C6D5C">
        <w:rPr>
          <w:rFonts w:ascii="Arial" w:hAnsi="Arial" w:cs="Arial"/>
          <w:color w:val="000000"/>
          <w:sz w:val="20"/>
          <w:u w:val="single"/>
          <w:vertAlign w:val="superscript"/>
        </w:rPr>
        <w:t>o</w:t>
      </w:r>
      <w:r w:rsidRPr="007C6D5C">
        <w:rPr>
          <w:rStyle w:val="apple-converted-space"/>
          <w:rFonts w:ascii="Arial" w:hAnsi="Arial" w:cs="Arial"/>
          <w:color w:val="000000"/>
          <w:sz w:val="20"/>
        </w:rPr>
        <w:t> </w:t>
      </w:r>
      <w:r w:rsidRPr="007C6D5C">
        <w:rPr>
          <w:rFonts w:ascii="Arial" w:hAnsi="Arial" w:cs="Arial"/>
          <w:color w:val="000000"/>
          <w:sz w:val="20"/>
        </w:rPr>
        <w:t>Se se tratar de títulos nominativos, a sua instituição como bem de família deverá constar dos respectivos livros de registro.</w:t>
      </w:r>
    </w:p>
    <w:p w14:paraId="7B95764B"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6" w:name="art1713§3"/>
      <w:bookmarkEnd w:id="6"/>
      <w:r w:rsidRPr="007C6D5C">
        <w:rPr>
          <w:rFonts w:ascii="Arial" w:hAnsi="Arial" w:cs="Arial"/>
          <w:color w:val="000000"/>
          <w:sz w:val="20"/>
        </w:rPr>
        <w:t>§ 3</w:t>
      </w:r>
      <w:r w:rsidRPr="007C6D5C">
        <w:rPr>
          <w:rFonts w:ascii="Arial" w:hAnsi="Arial" w:cs="Arial"/>
          <w:color w:val="000000"/>
          <w:sz w:val="20"/>
          <w:u w:val="single"/>
          <w:vertAlign w:val="superscript"/>
        </w:rPr>
        <w:t>o</w:t>
      </w:r>
      <w:r w:rsidRPr="007C6D5C">
        <w:rPr>
          <w:rStyle w:val="apple-converted-space"/>
          <w:rFonts w:ascii="Arial" w:hAnsi="Arial" w:cs="Arial"/>
          <w:color w:val="000000"/>
          <w:sz w:val="20"/>
        </w:rPr>
        <w:t> </w:t>
      </w:r>
      <w:r w:rsidRPr="007C6D5C">
        <w:rPr>
          <w:rFonts w:ascii="Arial" w:hAnsi="Arial" w:cs="Arial"/>
          <w:color w:val="000000"/>
          <w:sz w:val="20"/>
        </w:rPr>
        <w:t>O instituidor poderá determinar que a administração dos valores mobiliários seja confiada a instituição financeira, bem como disciplinar a forma de pagamento da respectiva renda aos beneficiários, caso em que a responsabilidade dos administradores obedecerá às regras do contrato de depósito.</w:t>
      </w:r>
    </w:p>
    <w:p w14:paraId="2FE8098B"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7" w:name="art1714"/>
      <w:bookmarkEnd w:id="7"/>
      <w:r w:rsidRPr="007C6D5C">
        <w:rPr>
          <w:rFonts w:ascii="Arial" w:hAnsi="Arial" w:cs="Arial"/>
          <w:color w:val="000000"/>
          <w:sz w:val="20"/>
        </w:rPr>
        <w:t>Art. 1.714. O bem de família, quer instituído pelos cônjuges ou por terceiro, constitui-se pelo registro de seu título no Registro de Imóveis.</w:t>
      </w:r>
    </w:p>
    <w:p w14:paraId="73C2DB5B"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8" w:name="art1715"/>
      <w:bookmarkEnd w:id="8"/>
      <w:r w:rsidRPr="007C6D5C">
        <w:rPr>
          <w:rFonts w:ascii="Arial" w:hAnsi="Arial" w:cs="Arial"/>
          <w:color w:val="000000"/>
          <w:sz w:val="20"/>
        </w:rPr>
        <w:t>Art. 1.715. O bem de família é isento de execução por dívidas posteriores à sua instituição, salvo as que provierem de tributos relativos ao prédio, ou de despesas de condomínio.</w:t>
      </w:r>
    </w:p>
    <w:p w14:paraId="1566254D"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9" w:name="art1715p"/>
      <w:bookmarkEnd w:id="9"/>
      <w:r w:rsidRPr="007C6D5C">
        <w:rPr>
          <w:rFonts w:ascii="Arial" w:hAnsi="Arial" w:cs="Arial"/>
          <w:color w:val="000000"/>
          <w:sz w:val="20"/>
        </w:rPr>
        <w:t>Parágrafo único. No caso de execução pelas dívidas referidas neste artigo, o saldo existente será aplicado em outro prédio, como bem de família, ou em títulos da dívida pública, para sustento familiar, salvo se motivos relevantes aconselharem outra solução, a critério do juiz.</w:t>
      </w:r>
    </w:p>
    <w:p w14:paraId="0AB1BC8A"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0" w:name="art1716"/>
      <w:bookmarkEnd w:id="10"/>
      <w:r w:rsidRPr="007C6D5C">
        <w:rPr>
          <w:rFonts w:ascii="Arial" w:hAnsi="Arial" w:cs="Arial"/>
          <w:color w:val="000000"/>
          <w:sz w:val="20"/>
        </w:rPr>
        <w:t>Art. 1.716. A isenção de que trata o artigo antecedente durará enquanto viver um dos cônjuges, ou, na falta destes, até que os filhos completem a maioridade.</w:t>
      </w:r>
    </w:p>
    <w:p w14:paraId="5F9AAB22"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1" w:name="art1717"/>
      <w:bookmarkEnd w:id="11"/>
      <w:r w:rsidRPr="007C6D5C">
        <w:rPr>
          <w:rFonts w:ascii="Arial" w:hAnsi="Arial" w:cs="Arial"/>
          <w:color w:val="000000"/>
          <w:sz w:val="20"/>
        </w:rPr>
        <w:t>Art. 1.717. O prédio e os valores mobiliários, constituídos como bem da família, não podem ter destino diverso do previsto no</w:t>
      </w:r>
      <w:r w:rsidRPr="007C6D5C">
        <w:rPr>
          <w:rStyle w:val="apple-converted-space"/>
          <w:rFonts w:ascii="Arial" w:hAnsi="Arial" w:cs="Arial"/>
          <w:color w:val="000000"/>
          <w:sz w:val="20"/>
        </w:rPr>
        <w:t> </w:t>
      </w:r>
      <w:hyperlink r:id="rId5" w:anchor="art1712" w:history="1">
        <w:r w:rsidRPr="007C6D5C">
          <w:rPr>
            <w:rStyle w:val="Hyperlink"/>
            <w:rFonts w:ascii="Arial" w:hAnsi="Arial" w:cs="Arial"/>
            <w:sz w:val="20"/>
          </w:rPr>
          <w:t>art. 1.712</w:t>
        </w:r>
      </w:hyperlink>
      <w:r w:rsidRPr="007C6D5C">
        <w:rPr>
          <w:rStyle w:val="apple-converted-space"/>
          <w:rFonts w:ascii="Arial" w:hAnsi="Arial" w:cs="Arial"/>
          <w:color w:val="000000"/>
          <w:sz w:val="20"/>
        </w:rPr>
        <w:t> </w:t>
      </w:r>
      <w:r w:rsidRPr="007C6D5C">
        <w:rPr>
          <w:rFonts w:ascii="Arial" w:hAnsi="Arial" w:cs="Arial"/>
          <w:color w:val="000000"/>
          <w:sz w:val="20"/>
        </w:rPr>
        <w:t>ou serem alienados sem o consentimento dos interessados e seus representantes legais, ouvido o Ministério Público.</w:t>
      </w:r>
    </w:p>
    <w:p w14:paraId="4BA42F9C"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2" w:name="art1718"/>
      <w:bookmarkEnd w:id="12"/>
      <w:r w:rsidRPr="007C6D5C">
        <w:rPr>
          <w:rFonts w:ascii="Arial" w:hAnsi="Arial" w:cs="Arial"/>
          <w:color w:val="000000"/>
          <w:sz w:val="20"/>
        </w:rPr>
        <w:t>Art. 1.718. Qualquer forma de liquidação da entidade administradora, a que se refere o</w:t>
      </w:r>
      <w:r w:rsidRPr="007C6D5C">
        <w:rPr>
          <w:rStyle w:val="apple-converted-space"/>
          <w:rFonts w:ascii="Arial" w:hAnsi="Arial" w:cs="Arial"/>
          <w:color w:val="000000"/>
          <w:sz w:val="20"/>
        </w:rPr>
        <w:t> </w:t>
      </w:r>
      <w:hyperlink r:id="rId6" w:anchor="art1713" w:history="1">
        <w:r w:rsidRPr="007C6D5C">
          <w:rPr>
            <w:rStyle w:val="Hyperlink"/>
            <w:rFonts w:ascii="Arial" w:hAnsi="Arial" w:cs="Arial"/>
            <w:sz w:val="20"/>
          </w:rPr>
          <w:t>§ 3</w:t>
        </w:r>
        <w:r w:rsidRPr="007C6D5C">
          <w:rPr>
            <w:rStyle w:val="Hyperlink"/>
            <w:rFonts w:ascii="Arial" w:hAnsi="Arial" w:cs="Arial"/>
            <w:sz w:val="20"/>
            <w:vertAlign w:val="superscript"/>
          </w:rPr>
          <w:t>o</w:t>
        </w:r>
        <w:r w:rsidRPr="007C6D5C">
          <w:rPr>
            <w:rStyle w:val="apple-converted-space"/>
            <w:rFonts w:ascii="Arial" w:hAnsi="Arial" w:cs="Arial"/>
            <w:sz w:val="20"/>
          </w:rPr>
          <w:t> </w:t>
        </w:r>
        <w:r w:rsidRPr="007C6D5C">
          <w:rPr>
            <w:rStyle w:val="Hyperlink"/>
            <w:rFonts w:ascii="Arial" w:hAnsi="Arial" w:cs="Arial"/>
            <w:sz w:val="20"/>
          </w:rPr>
          <w:t>do art. 1.713</w:t>
        </w:r>
      </w:hyperlink>
      <w:r w:rsidRPr="007C6D5C">
        <w:rPr>
          <w:rFonts w:ascii="Arial" w:hAnsi="Arial" w:cs="Arial"/>
          <w:color w:val="000000"/>
          <w:sz w:val="20"/>
        </w:rPr>
        <w:t>, não atingirá os valores a ela confiados, ordenando o juiz a sua transferência para outra instituição semelhante, obedecendo-se, no caso de falência, ao disposto sobre pedido de restituição.</w:t>
      </w:r>
    </w:p>
    <w:p w14:paraId="74C361F7"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3" w:name="art1719"/>
      <w:bookmarkEnd w:id="13"/>
      <w:r w:rsidRPr="007C6D5C">
        <w:rPr>
          <w:rFonts w:ascii="Arial" w:hAnsi="Arial" w:cs="Arial"/>
          <w:color w:val="000000"/>
          <w:sz w:val="20"/>
        </w:rPr>
        <w:t>Art. 1.719. Comprovada a impossibilidade da manutenção do bem de família nas condições em que foi instituído, poderá o juiz, a requerimento dos interessados, extingui-lo ou autorizar a sub-rogação dos bens que o constituem em outros, ouvidos o instituidor e o Ministério Público.</w:t>
      </w:r>
    </w:p>
    <w:p w14:paraId="069228F6"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4" w:name="art1720"/>
      <w:bookmarkEnd w:id="14"/>
      <w:r w:rsidRPr="007C6D5C">
        <w:rPr>
          <w:rFonts w:ascii="Arial" w:hAnsi="Arial" w:cs="Arial"/>
          <w:color w:val="000000"/>
          <w:sz w:val="20"/>
        </w:rPr>
        <w:t>Art. 1.720. Salvo disposição em contrário do ato de instituição, a administração do bem de família compete a ambos os cônjuges, resolvendo o juiz em caso de divergência.</w:t>
      </w:r>
    </w:p>
    <w:p w14:paraId="303A0BF5"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5" w:name="art1720p"/>
      <w:bookmarkEnd w:id="15"/>
      <w:r w:rsidRPr="007C6D5C">
        <w:rPr>
          <w:rFonts w:ascii="Arial" w:hAnsi="Arial" w:cs="Arial"/>
          <w:color w:val="000000"/>
          <w:sz w:val="20"/>
        </w:rPr>
        <w:t>Parágrafo único. Com o falecimento de ambos os cônjuges, a administração passará ao filho mais velho, se for maior, e, do contrário, a seu tutor.</w:t>
      </w:r>
    </w:p>
    <w:p w14:paraId="3DE97E63"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6" w:name="art1721"/>
      <w:bookmarkEnd w:id="16"/>
      <w:r w:rsidRPr="007C6D5C">
        <w:rPr>
          <w:rFonts w:ascii="Arial" w:hAnsi="Arial" w:cs="Arial"/>
          <w:color w:val="000000"/>
          <w:sz w:val="20"/>
        </w:rPr>
        <w:t>Art. 1.721. A dissolução da sociedade conjugal não extingue o bem de família.</w:t>
      </w:r>
    </w:p>
    <w:p w14:paraId="41A26146" w14:textId="77777777" w:rsidR="00931680" w:rsidRP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7" w:name="art1721p"/>
      <w:bookmarkEnd w:id="17"/>
      <w:r w:rsidRPr="007C6D5C">
        <w:rPr>
          <w:rFonts w:ascii="Arial" w:hAnsi="Arial" w:cs="Arial"/>
          <w:color w:val="000000"/>
          <w:sz w:val="20"/>
        </w:rPr>
        <w:t>Parágrafo único. Dissolvida a sociedade conjugal pela morte de um dos cônjuges, o sobrevivente poderá pedir a extinção do bem de família, se for o único bem do casal.</w:t>
      </w:r>
    </w:p>
    <w:p w14:paraId="0D7A94F2" w14:textId="77777777" w:rsidR="007C6D5C" w:rsidRDefault="00931680" w:rsidP="007C6D5C">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bookmarkStart w:id="18" w:name="art1722"/>
      <w:bookmarkEnd w:id="18"/>
      <w:r w:rsidRPr="007C6D5C">
        <w:rPr>
          <w:rFonts w:ascii="Arial" w:hAnsi="Arial" w:cs="Arial"/>
          <w:color w:val="000000"/>
          <w:sz w:val="20"/>
        </w:rPr>
        <w:t>Art. 1.722. Extingue-se, igualmente, o bem de família com a morte de ambos os cônjuges e a maioridade dos filhos, desde que não sujeitos a curatela.</w:t>
      </w:r>
      <w:r w:rsidR="007C6D5C">
        <w:rPr>
          <w:rFonts w:ascii="Arial" w:hAnsi="Arial" w:cs="Arial"/>
          <w:color w:val="000000"/>
          <w:sz w:val="20"/>
        </w:rPr>
        <w:t>”</w:t>
      </w:r>
    </w:p>
    <w:p w14:paraId="32B0CB93" w14:textId="77777777" w:rsidR="007C6D5C" w:rsidRPr="004B2D45" w:rsidRDefault="007C6D5C" w:rsidP="007C6D5C">
      <w:pPr>
        <w:pStyle w:val="SemEspaamento"/>
        <w:rPr>
          <w:sz w:val="18"/>
        </w:rPr>
      </w:pPr>
    </w:p>
    <w:p w14:paraId="437EA111" w14:textId="77777777" w:rsidR="007C6D5C" w:rsidRPr="004B2D45" w:rsidRDefault="007C6D5C" w:rsidP="007C6D5C">
      <w:pPr>
        <w:pStyle w:val="SemEspaamento"/>
        <w:pBdr>
          <w:top w:val="single" w:sz="4" w:space="1" w:color="auto"/>
          <w:left w:val="single" w:sz="4" w:space="4" w:color="auto"/>
          <w:bottom w:val="single" w:sz="4" w:space="1" w:color="auto"/>
          <w:right w:val="single" w:sz="4" w:space="4" w:color="auto"/>
        </w:pBdr>
        <w:rPr>
          <w:rFonts w:ascii="Arial Black" w:eastAsia="Times New Roman" w:hAnsi="Arial Black" w:cs="Times New Roman"/>
          <w:sz w:val="18"/>
          <w:szCs w:val="20"/>
          <w:shd w:val="clear" w:color="auto" w:fill="FFFFFF"/>
          <w:lang w:eastAsia="pt-BR"/>
        </w:rPr>
      </w:pPr>
      <w:r w:rsidRPr="004B2D45">
        <w:rPr>
          <w:rFonts w:ascii="Arial Black" w:eastAsia="Times New Roman" w:hAnsi="Arial Black" w:cs="Times New Roman"/>
          <w:b/>
          <w:bCs/>
          <w:sz w:val="18"/>
          <w:szCs w:val="20"/>
          <w:shd w:val="clear" w:color="auto" w:fill="FFFFFF"/>
          <w:lang w:eastAsia="pt-BR"/>
        </w:rPr>
        <w:t>SÚMULA N. 449-STJ.</w:t>
      </w:r>
    </w:p>
    <w:p w14:paraId="6BF5DAC5" w14:textId="77777777" w:rsidR="007C6D5C" w:rsidRPr="004B2D45" w:rsidRDefault="007C6D5C" w:rsidP="007C6D5C">
      <w:pPr>
        <w:pStyle w:val="SemEspaamento"/>
        <w:pBdr>
          <w:top w:val="single" w:sz="4" w:space="1" w:color="auto"/>
          <w:left w:val="single" w:sz="4" w:space="4" w:color="auto"/>
          <w:bottom w:val="single" w:sz="4" w:space="1" w:color="auto"/>
          <w:right w:val="single" w:sz="4" w:space="4" w:color="auto"/>
        </w:pBdr>
        <w:rPr>
          <w:rFonts w:ascii="Arial Black" w:eastAsia="Times New Roman" w:hAnsi="Arial Black" w:cs="Times New Roman"/>
          <w:b/>
          <w:bCs/>
          <w:sz w:val="18"/>
          <w:szCs w:val="20"/>
          <w:shd w:val="clear" w:color="auto" w:fill="FFFFFF"/>
          <w:lang w:eastAsia="pt-BR"/>
        </w:rPr>
      </w:pPr>
      <w:r w:rsidRPr="004B2D45">
        <w:rPr>
          <w:rFonts w:ascii="Arial Black" w:eastAsia="Times New Roman" w:hAnsi="Arial Black" w:cs="Times New Roman"/>
          <w:sz w:val="18"/>
          <w:szCs w:val="20"/>
          <w:shd w:val="clear" w:color="auto" w:fill="FFFFFF"/>
          <w:lang w:eastAsia="pt-BR"/>
        </w:rPr>
        <w:t>A vaga de garagem que possui matrícula própria no registro de imóveis não constitui bem de família para efeito de penhora. </w:t>
      </w:r>
      <w:r w:rsidRPr="004B2D45">
        <w:rPr>
          <w:rFonts w:ascii="Arial Black" w:eastAsia="Times New Roman" w:hAnsi="Arial Black" w:cs="Times New Roman"/>
          <w:b/>
          <w:bCs/>
          <w:sz w:val="18"/>
          <w:szCs w:val="20"/>
          <w:shd w:val="clear" w:color="auto" w:fill="FFFFFF"/>
          <w:lang w:eastAsia="pt-BR"/>
        </w:rPr>
        <w:t>Rel. Min. Aldir Passarinho Junior, em 2/6/2010.</w:t>
      </w:r>
    </w:p>
    <w:p w14:paraId="51D6B05A" w14:textId="77777777" w:rsidR="004B2D45" w:rsidRDefault="004B2D45" w:rsidP="007C6D5C">
      <w:pPr>
        <w:pStyle w:val="SemEspaamento"/>
        <w:rPr>
          <w:b/>
          <w:lang w:eastAsia="pt-BR"/>
        </w:rPr>
      </w:pPr>
    </w:p>
    <w:p w14:paraId="34383F0B" w14:textId="77777777" w:rsidR="007C6D5C" w:rsidRPr="00F4044F" w:rsidRDefault="007C6D5C" w:rsidP="007C6D5C">
      <w:pPr>
        <w:pStyle w:val="SemEspaamento"/>
        <w:rPr>
          <w:b/>
          <w:lang w:eastAsia="pt-BR"/>
        </w:rPr>
      </w:pPr>
      <w:r w:rsidRPr="00F4044F">
        <w:rPr>
          <w:b/>
          <w:lang w:eastAsia="pt-BR"/>
        </w:rPr>
        <w:t xml:space="preserve">INSTITUIDORES: </w:t>
      </w:r>
    </w:p>
    <w:p w14:paraId="6CD7545F" w14:textId="77777777" w:rsidR="007C6D5C" w:rsidRDefault="007C6D5C" w:rsidP="007C6D5C">
      <w:pPr>
        <w:pStyle w:val="SemEspaamento"/>
        <w:rPr>
          <w:lang w:eastAsia="pt-BR"/>
        </w:rPr>
      </w:pPr>
      <w:r>
        <w:rPr>
          <w:lang w:eastAsia="pt-BR"/>
        </w:rPr>
        <w:t xml:space="preserve">CÓPIA DO RG E CPF </w:t>
      </w:r>
    </w:p>
    <w:p w14:paraId="1BCCB660" w14:textId="77777777" w:rsidR="007C6D5C" w:rsidRDefault="007C6D5C" w:rsidP="007C6D5C">
      <w:pPr>
        <w:pStyle w:val="SemEspaamento"/>
        <w:rPr>
          <w:lang w:eastAsia="pt-BR"/>
        </w:rPr>
      </w:pPr>
      <w:r>
        <w:rPr>
          <w:lang w:eastAsia="pt-BR"/>
        </w:rPr>
        <w:t>CERTIDÃO DE CASAMENTO ATUALIZADA (se casado, divorciado, sep. Jud. ou viúvo)</w:t>
      </w:r>
    </w:p>
    <w:p w14:paraId="177D5014" w14:textId="77777777" w:rsidR="007C6D5C" w:rsidRDefault="007C6D5C" w:rsidP="007C6D5C">
      <w:pPr>
        <w:pStyle w:val="SemEspaamento"/>
        <w:rPr>
          <w:lang w:eastAsia="pt-BR"/>
        </w:rPr>
      </w:pPr>
      <w:r>
        <w:rPr>
          <w:lang w:eastAsia="pt-BR"/>
        </w:rPr>
        <w:t>CERTIDÃO DE NASCIMENTO ATUALIZADA (se solteiro)</w:t>
      </w:r>
    </w:p>
    <w:p w14:paraId="3D75C284" w14:textId="77777777" w:rsidR="00A22A60" w:rsidRDefault="00A22A60" w:rsidP="007C6D5C">
      <w:pPr>
        <w:pStyle w:val="SemEspaamento"/>
        <w:rPr>
          <w:lang w:eastAsia="pt-BR"/>
        </w:rPr>
      </w:pPr>
      <w:r>
        <w:rPr>
          <w:lang w:eastAsia="pt-BR"/>
        </w:rPr>
        <w:t>CERTIDÃO DE NASCIMENTO DOS FILHOS (se tiver filhos menores que residem com os pais)</w:t>
      </w:r>
    </w:p>
    <w:p w14:paraId="69B42515" w14:textId="77777777" w:rsidR="007C6D5C" w:rsidRDefault="007C6D5C" w:rsidP="007C6D5C">
      <w:pPr>
        <w:pStyle w:val="SemEspaamento"/>
        <w:rPr>
          <w:lang w:eastAsia="pt-BR"/>
        </w:rPr>
      </w:pPr>
      <w:r>
        <w:rPr>
          <w:lang w:eastAsia="pt-BR"/>
        </w:rPr>
        <w:t>PROFISSÃO (não precisa de comprovação)</w:t>
      </w:r>
    </w:p>
    <w:p w14:paraId="3EFF7C62" w14:textId="77777777" w:rsidR="007C6D5C" w:rsidRDefault="007C6D5C" w:rsidP="007C6D5C">
      <w:pPr>
        <w:pStyle w:val="SemEspaamento"/>
        <w:rPr>
          <w:lang w:eastAsia="pt-BR"/>
        </w:rPr>
      </w:pPr>
      <w:r>
        <w:rPr>
          <w:lang w:eastAsia="pt-BR"/>
        </w:rPr>
        <w:t>COMPR</w:t>
      </w:r>
      <w:r w:rsidR="00F4044F">
        <w:rPr>
          <w:lang w:eastAsia="pt-BR"/>
        </w:rPr>
        <w:t>O</w:t>
      </w:r>
      <w:r>
        <w:rPr>
          <w:lang w:eastAsia="pt-BR"/>
        </w:rPr>
        <w:t>VANTE DE RESIDÊNCIA</w:t>
      </w:r>
    </w:p>
    <w:p w14:paraId="6A5388B3" w14:textId="77777777" w:rsidR="00F4044F" w:rsidRDefault="00F4044F" w:rsidP="007C6D5C">
      <w:pPr>
        <w:pStyle w:val="SemEspaamento"/>
        <w:rPr>
          <w:lang w:eastAsia="pt-BR"/>
        </w:rPr>
      </w:pPr>
    </w:p>
    <w:p w14:paraId="21B037B6" w14:textId="77777777" w:rsidR="00F4044F" w:rsidRDefault="00F4044F" w:rsidP="007C6D5C">
      <w:pPr>
        <w:pStyle w:val="SemEspaamento"/>
        <w:rPr>
          <w:b/>
          <w:lang w:eastAsia="pt-BR"/>
        </w:rPr>
      </w:pPr>
      <w:r>
        <w:rPr>
          <w:b/>
          <w:lang w:eastAsia="pt-BR"/>
        </w:rPr>
        <w:t>IMÓVEL:</w:t>
      </w:r>
    </w:p>
    <w:p w14:paraId="0055FE30" w14:textId="77777777" w:rsidR="00F4044F" w:rsidRDefault="00F4044F" w:rsidP="007C6D5C">
      <w:pPr>
        <w:pStyle w:val="SemEspaamento"/>
        <w:rPr>
          <w:lang w:eastAsia="pt-BR"/>
        </w:rPr>
      </w:pPr>
      <w:r>
        <w:rPr>
          <w:lang w:eastAsia="pt-BR"/>
        </w:rPr>
        <w:t>MATRÍCULA COM NEGATIVA DE ÔNUS E AÇÕES</w:t>
      </w:r>
    </w:p>
    <w:p w14:paraId="2782C23A" w14:textId="77777777" w:rsidR="007C6D5C" w:rsidRDefault="007C6D5C" w:rsidP="007C6D5C">
      <w:pPr>
        <w:pStyle w:val="SemEspaamento"/>
        <w:rPr>
          <w:lang w:eastAsia="pt-BR"/>
        </w:rPr>
      </w:pPr>
    </w:p>
    <w:p w14:paraId="57F6D7A6" w14:textId="77777777" w:rsidR="008D77C2" w:rsidRDefault="008D77C2" w:rsidP="007C6D5C">
      <w:pPr>
        <w:pStyle w:val="SemEspaamento"/>
        <w:rPr>
          <w:lang w:eastAsia="pt-BR"/>
        </w:rPr>
      </w:pPr>
    </w:p>
    <w:p w14:paraId="5E61EAFC" w14:textId="77777777" w:rsidR="007C6D5C" w:rsidRPr="007C6D5C" w:rsidRDefault="004B2D45" w:rsidP="004B2D45">
      <w:pPr>
        <w:pStyle w:val="SemEspaamento"/>
        <w:pBdr>
          <w:top w:val="single" w:sz="4" w:space="1" w:color="auto"/>
          <w:left w:val="single" w:sz="4" w:space="4" w:color="auto"/>
          <w:bottom w:val="single" w:sz="4" w:space="0" w:color="auto"/>
          <w:right w:val="single" w:sz="4" w:space="4" w:color="auto"/>
        </w:pBdr>
        <w:jc w:val="both"/>
        <w:rPr>
          <w:rFonts w:ascii="Arial" w:hAnsi="Arial" w:cs="Arial"/>
          <w:color w:val="000000"/>
          <w:sz w:val="20"/>
        </w:rPr>
      </w:pPr>
      <w:r>
        <w:rPr>
          <w:rFonts w:ascii="Arial" w:hAnsi="Arial" w:cs="Arial"/>
          <w:color w:val="000000"/>
          <w:sz w:val="20"/>
        </w:rPr>
        <w:t xml:space="preserve">DEVERÃO SER OBSERVADOS OS ARTIGOS MENCIONADOS, UMA VEZ QUE SERÃO CONSIGNADOS NA ESCRITURA COMO DECLARAÇÃO DAS PARTES, QUE DEVERÃO SE RESPONSABILIZAR POR ESTAS. </w:t>
      </w:r>
    </w:p>
    <w:sectPr w:rsidR="007C6D5C" w:rsidRPr="007C6D5C" w:rsidSect="004B2D45">
      <w:pgSz w:w="11906" w:h="16838"/>
      <w:pgMar w:top="284" w:right="424"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680"/>
    <w:rsid w:val="004B2D45"/>
    <w:rsid w:val="007C6D5C"/>
    <w:rsid w:val="008C1B90"/>
    <w:rsid w:val="008D77C2"/>
    <w:rsid w:val="00931680"/>
    <w:rsid w:val="0098227D"/>
    <w:rsid w:val="00A0460A"/>
    <w:rsid w:val="00A22A60"/>
    <w:rsid w:val="00C53340"/>
    <w:rsid w:val="00C769EF"/>
    <w:rsid w:val="00DC2277"/>
    <w:rsid w:val="00F40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4EA4"/>
  <w15:docId w15:val="{8976A74F-32EA-4F71-86E8-0282585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316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31680"/>
    <w:rPr>
      <w:color w:val="0000FF"/>
      <w:u w:val="single"/>
    </w:rPr>
  </w:style>
  <w:style w:type="character" w:styleId="Forte">
    <w:name w:val="Strong"/>
    <w:basedOn w:val="Fontepargpadro"/>
    <w:uiPriority w:val="22"/>
    <w:qFormat/>
    <w:rsid w:val="00931680"/>
    <w:rPr>
      <w:b/>
      <w:bCs/>
    </w:rPr>
  </w:style>
  <w:style w:type="character" w:customStyle="1" w:styleId="apple-converted-space">
    <w:name w:val="apple-converted-space"/>
    <w:basedOn w:val="Fontepargpadro"/>
    <w:rsid w:val="00931680"/>
  </w:style>
  <w:style w:type="character" w:styleId="nfase">
    <w:name w:val="Emphasis"/>
    <w:basedOn w:val="Fontepargpadro"/>
    <w:uiPriority w:val="20"/>
    <w:qFormat/>
    <w:rsid w:val="00931680"/>
    <w:rPr>
      <w:i/>
      <w:iCs/>
    </w:rPr>
  </w:style>
  <w:style w:type="paragraph" w:styleId="SemEspaamento">
    <w:name w:val="No Spacing"/>
    <w:uiPriority w:val="1"/>
    <w:qFormat/>
    <w:rsid w:val="007C6D5C"/>
    <w:pPr>
      <w:spacing w:after="0" w:line="240" w:lineRule="auto"/>
    </w:pPr>
  </w:style>
  <w:style w:type="character" w:customStyle="1" w:styleId="clsinformativotextotitulo">
    <w:name w:val="clsinformativotextotitulo"/>
    <w:basedOn w:val="Fontepargpadro"/>
    <w:rsid w:val="007C6D5C"/>
  </w:style>
  <w:style w:type="character" w:customStyle="1" w:styleId="clsinformativotexto">
    <w:name w:val="clsinformativotexto"/>
    <w:basedOn w:val="Fontepargpadro"/>
    <w:rsid w:val="007C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6797">
      <w:bodyDiv w:val="1"/>
      <w:marLeft w:val="0"/>
      <w:marRight w:val="0"/>
      <w:marTop w:val="0"/>
      <w:marBottom w:val="0"/>
      <w:divBdr>
        <w:top w:val="none" w:sz="0" w:space="0" w:color="auto"/>
        <w:left w:val="none" w:sz="0" w:space="0" w:color="auto"/>
        <w:bottom w:val="none" w:sz="0" w:space="0" w:color="auto"/>
        <w:right w:val="none" w:sz="0" w:space="0" w:color="auto"/>
      </w:divBdr>
    </w:div>
    <w:div w:id="990061336">
      <w:bodyDiv w:val="1"/>
      <w:marLeft w:val="0"/>
      <w:marRight w:val="0"/>
      <w:marTop w:val="0"/>
      <w:marBottom w:val="0"/>
      <w:divBdr>
        <w:top w:val="none" w:sz="0" w:space="0" w:color="auto"/>
        <w:left w:val="none" w:sz="0" w:space="0" w:color="auto"/>
        <w:bottom w:val="none" w:sz="0" w:space="0" w:color="auto"/>
        <w:right w:val="none" w:sz="0" w:space="0" w:color="auto"/>
      </w:divBdr>
      <w:divsChild>
        <w:div w:id="435059435">
          <w:marLeft w:val="0"/>
          <w:marRight w:val="0"/>
          <w:marTop w:val="0"/>
          <w:marBottom w:val="0"/>
          <w:divBdr>
            <w:top w:val="none" w:sz="0" w:space="0" w:color="auto"/>
            <w:left w:val="none" w:sz="0" w:space="0" w:color="auto"/>
            <w:bottom w:val="none" w:sz="0" w:space="0" w:color="auto"/>
            <w:right w:val="none" w:sz="0" w:space="0" w:color="auto"/>
          </w:divBdr>
        </w:div>
      </w:divsChild>
    </w:div>
    <w:div w:id="1910652684">
      <w:bodyDiv w:val="1"/>
      <w:marLeft w:val="0"/>
      <w:marRight w:val="0"/>
      <w:marTop w:val="0"/>
      <w:marBottom w:val="0"/>
      <w:divBdr>
        <w:top w:val="none" w:sz="0" w:space="0" w:color="auto"/>
        <w:left w:val="none" w:sz="0" w:space="0" w:color="auto"/>
        <w:bottom w:val="none" w:sz="0" w:space="0" w:color="auto"/>
        <w:right w:val="none" w:sz="0" w:space="0" w:color="auto"/>
      </w:divBdr>
    </w:div>
    <w:div w:id="193681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alto.gov.br/ccivil_03/leis/2002/L10406.htm" TargetMode="External"/><Relationship Id="rId5" Type="http://schemas.openxmlformats.org/officeDocument/2006/relationships/hyperlink" Target="http://www.planalto.gov.br/ccivil_03/leis/2002/L10406.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2D88-F1FC-418D-828E-A705562D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753</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Auxiliar Monica</cp:lastModifiedBy>
  <cp:revision>4</cp:revision>
  <cp:lastPrinted>2015-10-14T21:08:00Z</cp:lastPrinted>
  <dcterms:created xsi:type="dcterms:W3CDTF">2015-10-14T20:24:00Z</dcterms:created>
  <dcterms:modified xsi:type="dcterms:W3CDTF">2023-08-07T17:32:00Z</dcterms:modified>
</cp:coreProperties>
</file>